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Инновационные технологии обучения в начальной школе в процессе реализации ФГОС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КЕЙС-ТЕХНОЛОГИИ КАК ОДИН ИЗ ИННОВАЦИОННЫХ МЕТОДОВ ОБРАЗОВАТЕЛЬНОЙ СРЕДЫ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Проблема усвоения знаний давно не дает покоя учителям. Практически любое действие человека в жизни, не только учеба, связана с необходимостью усвоения и переработки тех или иных знаний, той или иной информации. Научить учиться, а именно усваивать и должным образом перерабатывать информацию – главный тезис деятельностного подхода к обучению.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Одной из новых форм эффективных технологий обучения является проблемно-ситуативное обучение с использованием кейсов. Внедрение учебных кейсов в практику российского образования в настоящее время является весьма актуальной задачей. Кейс представляет собой описание конкретной реальной ситуации, подготовленное по определенному формату и предназначенное для обучения учащихся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критериями. Кейсовая технология (метод) обучения – это обучение действием. Суть кейс–метода состоит в том, что усвоение знаний и формирование умений есть результат активной самостоятельной деятельности учащихся по разрешению противоречий, в результате чего и происходит творческое овладение профессиональными знаниями, навыками, умениями и развитие мыслительных способностей.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Термин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кейс-метод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кейс-технология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переводе с английского как 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«case»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означает: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описание конкретной практической ситуации, методический прием обучения по принципу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типичных ситуаций, примеров – к правилу, а не наоборот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предполагает активный метод обучения, основанный на рассмотрении конкретных (реальных) ситуаций из практики будущей деятельности обучающихся, т.е. использование методики ситуационного обучения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«case – study»;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набор специально разработанных учебно-методических материалов на различных носителях (печатных, аудио-, видео- и электронные материалы), выдаваемых учащимся (студентам) для самостоятельной работы.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Преимуществом кейсов является возможность оптимально сочетать теорию и практику, что представляется достаточно важным при подготовке специалиста. Метод кейсов способствует развитию умения анализировать ситуации, оценивать альтернативы, выбирать оптимальный вариант и планировать его осуществление. И если в течение учебного цикла такой подход применяется многократно, то у обучающегося вырабатывается устойчивый навык решения практических задач.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 отличается кейс от проблемной ситуации? Кейс не предлагает обучающимся проблему в открытом виде, а участникам образовательного процесса предстоит вычленить ее из той информации, которая содержится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описании кейса.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Технология работы с кейсом в учебном процессе сравнительно проста и включает в себя следующие этапы: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индивидуальная самостоятельная работы обучаемых с материалами кейса (идентификация проблемы, формулирование ключевых альтернатив, предложение решения или рекомендуемого действия);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 в малых группах по согласованию видения ключевой проблемы и ее решений;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презентация и экспертиза результатов малых групп на общей дискуссии (в рамках учебной группы). 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Кейс – стадии: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шаг: Сформулируйте одну конкретную проблему и запишите ее.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шаг: Выявите и запишите основные причины ее возникновения (причины формулируются со слов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2 шаг представляют ситуацию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ее надо перевести в ситуацию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плюс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шаг: Проблема переформулируется в цель.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шаг: Причины становятся задачами.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шаг: Для каждой задачи определяется комплекс мероприятий – шагов по ее решению, для каждого шага назначаются ответственные, которые подбирают команду для реализации мероприятий.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шаг: Ответственные определяют необходимые материальные ресурсы и время для выполнения мероприятия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шаг: Для каждого блока задач определяется конкретный продукт и критерии эффективности решения задачи.</w:t>
      </w:r>
    </w:p>
    <w:p>
      <w:pPr>
        <w:spacing w:before="0" w:after="0" w:line="240"/>
        <w:ind w:right="0" w:left="0" w:firstLine="51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Распределения функций между учащимися и преподавателем:</w:t>
      </w:r>
    </w:p>
    <w:tbl>
      <w:tblPr>
        <w:tblInd w:w="40" w:type="dxa"/>
      </w:tblPr>
      <w:tblGrid>
        <w:gridCol w:w="1240"/>
        <w:gridCol w:w="3360"/>
        <w:gridCol w:w="4795"/>
      </w:tblGrid>
      <w:tr>
        <w:trPr>
          <w:trHeight w:val="1" w:hRule="atLeast"/>
          <w:jc w:val="left"/>
        </w:trPr>
        <w:tc>
          <w:tcPr>
            <w:tcW w:w="12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Фаза работы</w:t>
            </w:r>
          </w:p>
        </w:tc>
        <w:tc>
          <w:tcPr>
            <w:tcW w:w="336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98" w:firstLine="8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преподавателя</w:t>
            </w:r>
          </w:p>
        </w:tc>
        <w:tc>
          <w:tcPr>
            <w:tcW w:w="479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487" w:hanging="6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учащегося</w:t>
            </w:r>
          </w:p>
        </w:tc>
      </w:tr>
      <w:tr>
        <w:trPr>
          <w:trHeight w:val="1" w:hRule="atLeast"/>
          <w:jc w:val="left"/>
        </w:trPr>
        <w:tc>
          <w:tcPr>
            <w:tcW w:w="12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занятия</w:t>
            </w:r>
          </w:p>
        </w:tc>
        <w:tc>
          <w:tcPr>
            <w:tcW w:w="336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23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Подбирает кейс</w:t>
            </w:r>
          </w:p>
          <w:p>
            <w:pPr>
              <w:tabs>
                <w:tab w:val="left" w:pos="238" w:leader="none"/>
              </w:tabs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Определяет основные и</w:t>
              <w:br/>
              <w:t xml:space="preserve">вспомогательные материалы</w:t>
              <w:br/>
              <w:t xml:space="preserve">для подготовки учащихся</w:t>
            </w:r>
          </w:p>
          <w:p>
            <w:pPr>
              <w:tabs>
                <w:tab w:val="left" w:pos="238" w:leader="none"/>
              </w:tabs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Разрабатывает сценарий</w:t>
              <w:br/>
              <w:t xml:space="preserve">занятия</w:t>
            </w:r>
          </w:p>
        </w:tc>
        <w:tc>
          <w:tcPr>
            <w:tcW w:w="479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Получает кейс и список рекомендованной литературы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Индивидуально готовится</w:t>
              <w:br/>
              <w:t xml:space="preserve">к занятию</w:t>
            </w:r>
          </w:p>
        </w:tc>
      </w:tr>
      <w:tr>
        <w:trPr>
          <w:trHeight w:val="1" w:hRule="atLeast"/>
          <w:jc w:val="left"/>
        </w:trPr>
        <w:tc>
          <w:tcPr>
            <w:tcW w:w="12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" w:hanging="1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время занятия</w:t>
            </w:r>
          </w:p>
        </w:tc>
        <w:tc>
          <w:tcPr>
            <w:tcW w:w="336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23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Организует предварительное обсуждение кейса</w:t>
            </w:r>
          </w:p>
          <w:p>
            <w:pPr>
              <w:tabs>
                <w:tab w:val="left" w:pos="238" w:leader="none"/>
              </w:tabs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Делит группу на подгруппы</w:t>
            </w:r>
          </w:p>
          <w:p>
            <w:pPr>
              <w:tabs>
                <w:tab w:val="left" w:pos="23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 обсуждением</w:t>
              <w:br/>
              <w:t xml:space="preserve">кейса в подгруппах, обеспечивает учащихся дополнительными сведениями</w:t>
            </w:r>
          </w:p>
        </w:tc>
        <w:tc>
          <w:tcPr>
            <w:tcW w:w="479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233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Задает вопросы, углубляющие понимание кейса и проблемы</w:t>
            </w:r>
          </w:p>
          <w:p>
            <w:pPr>
              <w:tabs>
                <w:tab w:val="left" w:pos="233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Разрабатывает варианты</w:t>
              <w:br/>
              <w:t xml:space="preserve">решений, принимает во внимание мнения других</w:t>
            </w:r>
          </w:p>
          <w:p>
            <w:pPr>
              <w:tabs>
                <w:tab w:val="left" w:pos="233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Принимает или участвует в</w:t>
              <w:br/>
              <w:t xml:space="preserve">принятии решений</w:t>
            </w:r>
          </w:p>
        </w:tc>
      </w:tr>
      <w:tr>
        <w:trPr>
          <w:trHeight w:val="1" w:hRule="atLeast"/>
          <w:jc w:val="left"/>
        </w:trPr>
        <w:tc>
          <w:tcPr>
            <w:tcW w:w="12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 занятия</w:t>
            </w:r>
          </w:p>
        </w:tc>
        <w:tc>
          <w:tcPr>
            <w:tcW w:w="336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233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Оценивает работу учащихся</w:t>
            </w:r>
          </w:p>
          <w:p>
            <w:pPr>
              <w:tabs>
                <w:tab w:val="left" w:pos="235" w:leader="none"/>
              </w:tabs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Оценивает принятые решения и поставленные вопросы</w:t>
            </w:r>
          </w:p>
        </w:tc>
        <w:tc>
          <w:tcPr>
            <w:tcW w:w="479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Составляет письменный отчет о занятии по заданной форме</w:t>
            </w:r>
          </w:p>
        </w:tc>
      </w:tr>
    </w:tbl>
    <w:p>
      <w:pPr>
        <w:spacing w:before="0" w:after="0" w:line="240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Обычно кейсы готовятся в пакете, включающем в себя:</w:t>
      </w:r>
    </w:p>
    <w:p>
      <w:pPr>
        <w:numPr>
          <w:ilvl w:val="0"/>
          <w:numId w:val="30"/>
        </w:numPr>
        <w:tabs>
          <w:tab w:val="left" w:pos="360" w:leader="none"/>
        </w:tabs>
        <w:spacing w:before="0" w:after="0" w:line="240"/>
        <w:ind w:right="0" w:left="36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вводный кейс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(сведения о наличии проблемы, ситуации, явления; описание границ рассматриваемого явления); </w:t>
      </w:r>
    </w:p>
    <w:p>
      <w:pPr>
        <w:numPr>
          <w:ilvl w:val="0"/>
          <w:numId w:val="30"/>
        </w:numPr>
        <w:tabs>
          <w:tab w:val="left" w:pos="360" w:leader="none"/>
        </w:tabs>
        <w:spacing w:before="0" w:after="0" w:line="240"/>
        <w:ind w:right="0" w:left="36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информационный кейс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(объем знаний по какой-либо теме (проблеме), изложенный с той или иной степенью детальности); </w:t>
      </w:r>
    </w:p>
    <w:p>
      <w:pPr>
        <w:numPr>
          <w:ilvl w:val="0"/>
          <w:numId w:val="30"/>
        </w:numPr>
        <w:tabs>
          <w:tab w:val="left" w:pos="360" w:leader="none"/>
        </w:tabs>
        <w:spacing w:before="0" w:after="0" w:line="240"/>
        <w:ind w:right="0" w:left="36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стратегический кейс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(развитие умения анализировать среду в условиях неопределенности и решать комплексные проблемы со скрытыми детерминантами); </w:t>
      </w:r>
    </w:p>
    <w:p>
      <w:pPr>
        <w:numPr>
          <w:ilvl w:val="0"/>
          <w:numId w:val="30"/>
        </w:numPr>
        <w:tabs>
          <w:tab w:val="left" w:pos="360" w:leader="none"/>
        </w:tabs>
        <w:spacing w:before="0" w:after="0" w:line="240"/>
        <w:ind w:right="0" w:left="36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исследовательский ке</w:t>
      </w:r>
      <w:r>
        <w:rPr>
          <w:rFonts w:ascii="Times New Roman" w:hAnsi="Times New Roman" w:cs="Times New Roman" w:eastAsia="Times New Roman"/>
          <w:i/>
          <w:color w:val="auto"/>
          <w:spacing w:val="20"/>
          <w:position w:val="0"/>
          <w:sz w:val="24"/>
          <w:shd w:fill="auto" w:val="clear"/>
        </w:rPr>
        <w:t xml:space="preserve">йс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(аналогичен групповым или индивидуальным проектам — результаты анализа некоторой ситуации представляются в форме изложения); </w:t>
      </w:r>
    </w:p>
    <w:p>
      <w:pPr>
        <w:numPr>
          <w:ilvl w:val="0"/>
          <w:numId w:val="30"/>
        </w:numPr>
        <w:tabs>
          <w:tab w:val="left" w:pos="360" w:leader="none"/>
        </w:tabs>
        <w:spacing w:before="0" w:after="0" w:line="240"/>
        <w:ind w:right="0" w:left="36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тренинговый кейс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(направлен на упрочение и более полное освоение уже использованных ранее инструментов и навыков -  логических и т.п.).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своих уроках кейс-технологии мы применяем при изучении новых тем, на повторительно-обобщающих уроках. Например, урок в 11 классе по теме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Окислительно-восстановительные реакции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Образовательные цели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развитие знаний учащихся о видах окислительно-восстановительных реакций: типы ОВР, факторы, определяющие направление ОВР, ОВР в растворах; развитие умений составлять ОВР различными методами.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Развивающие цели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развитие знаний школьников о химических процессах при формировании знаний об ОВР.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Воспитательная цель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формирование научного мировоззрения.</w:t>
      </w:r>
    </w:p>
    <w:p>
      <w:pPr>
        <w:spacing w:before="274" w:after="200" w:line="240"/>
        <w:ind w:right="0" w:left="22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Раздаточный материал: кейс с теоретическим материалом - 6 штук; набор заданий с тремя уровнями сложности - 6 комплектов; жетоны для распределения по группам; жетоны для выдачи группам за решённые задачи; </w:t>
      </w:r>
    </w:p>
    <w:p>
      <w:pPr>
        <w:spacing w:before="274" w:after="200" w:line="240"/>
        <w:ind w:right="0" w:left="22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Основные этапы урока:</w:t>
      </w:r>
    </w:p>
    <w:p>
      <w:pPr>
        <w:numPr>
          <w:ilvl w:val="0"/>
          <w:numId w:val="34"/>
        </w:numPr>
        <w:tabs>
          <w:tab w:val="left" w:pos="511" w:leader="none"/>
        </w:tabs>
        <w:spacing w:before="259" w:after="0" w:line="240"/>
        <w:ind w:right="0" w:left="144" w:firstLine="567"/>
        <w:jc w:val="both"/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Организационная деятельность. Слово учителя. Знакомство с ходом урока.</w:t>
      </w:r>
    </w:p>
    <w:p>
      <w:pPr>
        <w:numPr>
          <w:ilvl w:val="0"/>
          <w:numId w:val="34"/>
        </w:numPr>
        <w:tabs>
          <w:tab w:val="left" w:pos="511" w:leader="none"/>
        </w:tabs>
        <w:spacing w:before="0" w:after="0" w:line="240"/>
        <w:ind w:right="0" w:left="144" w:firstLine="567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Актуализация знаний учащихся.</w:t>
      </w:r>
    </w:p>
    <w:p>
      <w:pPr>
        <w:numPr>
          <w:ilvl w:val="0"/>
          <w:numId w:val="34"/>
        </w:numPr>
        <w:tabs>
          <w:tab w:val="left" w:pos="511" w:leader="none"/>
        </w:tabs>
        <w:spacing w:before="7" w:after="0" w:line="240"/>
        <w:ind w:right="0" w:left="144" w:firstLine="567"/>
        <w:jc w:val="both"/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Работа с кейсом. Анализ.</w:t>
      </w:r>
    </w:p>
    <w:p>
      <w:pPr>
        <w:numPr>
          <w:ilvl w:val="0"/>
          <w:numId w:val="34"/>
        </w:numPr>
        <w:tabs>
          <w:tab w:val="left" w:pos="511" w:leader="none"/>
        </w:tabs>
        <w:spacing w:before="0" w:after="0" w:line="240"/>
        <w:ind w:right="0" w:left="144" w:firstLine="567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Домашнее задание.</w:t>
      </w:r>
    </w:p>
    <w:p>
      <w:pPr>
        <w:numPr>
          <w:ilvl w:val="0"/>
          <w:numId w:val="34"/>
        </w:numPr>
        <w:tabs>
          <w:tab w:val="left" w:pos="511" w:leader="none"/>
        </w:tabs>
        <w:spacing w:before="0" w:after="0" w:line="240"/>
        <w:ind w:right="0" w:left="144" w:firstLine="567"/>
        <w:jc w:val="both"/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Итог урока.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FFFFFF" w:val="clear"/>
        </w:rPr>
        <w:t xml:space="preserve">Ход урока: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Организационные моменты.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входе в кабинет учащиеся берут жетоны и рассаживаются по группам за столы, на которых лежит выбранный ими жетон. Учитель знакомит с ходом работы на уроке.</w:t>
      </w:r>
    </w:p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Актуализация знаний учащихся.</w:t>
      </w:r>
    </w:p>
    <w:p>
      <w:pPr>
        <w:tabs>
          <w:tab w:val="left" w:pos="526" w:leader="none"/>
        </w:tabs>
        <w:spacing w:before="274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Сформулировать понятия: степень окисления, окислитель, восстановитель, окисление, восстановление.</w:t>
      </w:r>
    </w:p>
    <w:p>
      <w:pPr>
        <w:spacing w:before="266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Работа с кейсом: вступительное слово учителя. Учитель знакомит ребят с кейсом.    Работа с кейсом. Анализ ситуации с использованием метода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Мозговая атака на доске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Рекомендуемая последовательность работы:</w:t>
      </w: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ступень – введение в задачу</w:t>
      </w: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ступень – сбор информации  по кейс-задаче </w:t>
      </w: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ступень – принятие решений</w:t>
      </w: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ступень – рассмотрение альтернатив</w:t>
      </w: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ступень – сравнительный анализ</w:t>
      </w: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ступень – презентация решений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Таким образом, кейс-технологии в образовательном процессе позволяют:</w:t>
      </w:r>
    </w:p>
    <w:p>
      <w:pPr>
        <w:numPr>
          <w:ilvl w:val="0"/>
          <w:numId w:val="43"/>
        </w:numPr>
        <w:spacing w:before="0" w:after="20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Повысить мотивации обучения у обучающихся;</w:t>
      </w:r>
    </w:p>
    <w:p>
      <w:pPr>
        <w:numPr>
          <w:ilvl w:val="0"/>
          <w:numId w:val="43"/>
        </w:numPr>
        <w:spacing w:before="0" w:after="20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Развить интеллектуальные навыки у учащихся, которые будут ими востребованы при дальнейшем обучении и в профессиональной деятельности.  </w:t>
      </w:r>
    </w:p>
    <w:p>
      <w:pPr>
        <w:spacing w:before="2" w:after="0" w:line="240"/>
        <w:ind w:right="0" w:left="0" w:firstLine="51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Список литературы:</w:t>
      </w:r>
    </w:p>
    <w:p>
      <w:pPr>
        <w:numPr>
          <w:ilvl w:val="0"/>
          <w:numId w:val="45"/>
        </w:num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Полат Е.С. Современные педагогические и информационные технологии в системе образования : учебное пособие для студ. вузов / Полат Е.С. ; Бухаркина М.Ю. - 2-е изд., стер. - М: Академия, 2008. - 368 с.</w:t>
      </w:r>
    </w:p>
    <w:p>
      <w:pPr>
        <w:numPr>
          <w:ilvl w:val="0"/>
          <w:numId w:val="45"/>
        </w:num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Пожитнева В.В. Кейс-технологии для развития одаренности//Химия в школе.-2008.-№4.-С.13-17</w:t>
      </w:r>
    </w:p>
    <w:p>
      <w:pPr>
        <w:numPr>
          <w:ilvl w:val="0"/>
          <w:numId w:val="45"/>
        </w:num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Полат Е. С. Организация дистанционного обучения в Российской Федерации // Информатика и образование. – 2005. -№ 4,С.13-18</w:t>
      </w:r>
    </w:p>
    <w:p>
      <w:pPr>
        <w:numPr>
          <w:ilvl w:val="0"/>
          <w:numId w:val="45"/>
        </w:num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Пырьева В. В. Кейсовая технология обучения и ее применение при изучении 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Алгоритмы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Информатика и образование. – 2009. -№ 11,С.25-28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0">
    <w:abstractNumId w:val="18"/>
  </w:num>
  <w:num w:numId="34">
    <w:abstractNumId w:val="12"/>
  </w:num>
  <w:num w:numId="43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