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DC" w:rsidRPr="00A95DDC" w:rsidRDefault="00A95DDC" w:rsidP="00A95DDC">
      <w:pPr>
        <w:keepNext/>
        <w:numPr>
          <w:ilvl w:val="12"/>
          <w:numId w:val="0"/>
        </w:numPr>
        <w:spacing w:line="360" w:lineRule="auto"/>
        <w:ind w:firstLine="709"/>
        <w:jc w:val="both"/>
        <w:outlineLvl w:val="2"/>
        <w:rPr>
          <w:b/>
          <w:bCs/>
          <w:sz w:val="28"/>
        </w:rPr>
      </w:pPr>
      <w:r w:rsidRPr="00A95DDC">
        <w:rPr>
          <w:b/>
          <w:bCs/>
          <w:sz w:val="28"/>
        </w:rPr>
        <w:t>Показатели физической подготовленности волейболисток средней спортивной квалификации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Выполнение технико-тактических действий требует от спортсмена всестороннего физического развития. Для определения уровня развития общих и специальных физических качеств, влияющих на эффективное выполнение прыжковых действий, технических приемов и большинства тактических комбинаций на протяжении одной игры, или нескольких игровых дней, нами проведено анонимное анкетирование (анкета № 1, анкета № 2 представлены в приложении) волейболисток средней спортивной квалификации, принимавших участие в </w:t>
      </w:r>
      <w:r w:rsidRPr="00A95DDC">
        <w:rPr>
          <w:rFonts w:eastAsiaTheme="minorHAnsi"/>
          <w:sz w:val="28"/>
          <w:szCs w:val="28"/>
          <w:lang w:val="en-US" w:eastAsia="en-US"/>
        </w:rPr>
        <w:t>VI</w:t>
      </w:r>
      <w:r w:rsidRPr="00A95DDC">
        <w:rPr>
          <w:rFonts w:eastAsiaTheme="minorHAnsi"/>
          <w:sz w:val="28"/>
          <w:szCs w:val="28"/>
          <w:lang w:eastAsia="en-US"/>
        </w:rPr>
        <w:t xml:space="preserve"> Всероссийской летней Универсиаде 2018 года. Свой уровень развития физических качеств оценили 41 человек – это волейболистки команд Владивостока, Казани, Москвы, Екатеринбурга и Санкт-Петербурга.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В анкете №1 указано 5 общих физических качеств (сила, быстрота, выносливость, ловкость, гибкость). Респонденты по 7 бальной шкале оценили свой уровень развития этих физических качеств (где 7 баллов – «очень высокий» уровень, а 1 – «очень низкий»). Данные представлены в таблице 2.</w:t>
      </w:r>
    </w:p>
    <w:p w:rsidR="00A95DDC" w:rsidRPr="00A95DDC" w:rsidRDefault="00A95DDC" w:rsidP="00A95DDC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Таблица 2 – Уровень развития общих физических качеств волейболисток средней квалификации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7"/>
        <w:gridCol w:w="4881"/>
      </w:tblGrid>
      <w:tr w:rsidR="00A95DDC" w:rsidRPr="00A95DDC" w:rsidTr="002B5198">
        <w:trPr>
          <w:trHeight w:val="630"/>
          <w:jc w:val="center"/>
        </w:trPr>
        <w:tc>
          <w:tcPr>
            <w:tcW w:w="4317" w:type="dxa"/>
            <w:vAlign w:val="center"/>
          </w:tcPr>
          <w:p w:rsidR="00A95DDC" w:rsidRPr="00A95DDC" w:rsidRDefault="00A95DDC" w:rsidP="00A95DDC">
            <w:pPr>
              <w:spacing w:line="360" w:lineRule="auto"/>
              <w:ind w:left="-9" w:firstLine="9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b/>
                <w:sz w:val="28"/>
                <w:szCs w:val="28"/>
                <w:lang w:eastAsia="en-US"/>
              </w:rPr>
              <w:t>Физическое качество</w:t>
            </w:r>
          </w:p>
        </w:tc>
        <w:tc>
          <w:tcPr>
            <w:tcW w:w="488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b/>
                <w:sz w:val="28"/>
                <w:szCs w:val="28"/>
                <w:lang w:eastAsia="en-US"/>
              </w:rPr>
              <w:t>Уровень развития (средний балл)</w:t>
            </w:r>
          </w:p>
        </w:tc>
      </w:tr>
      <w:tr w:rsidR="00A95DDC" w:rsidRPr="00A95DDC" w:rsidTr="002B5198">
        <w:trPr>
          <w:trHeight w:val="364"/>
          <w:jc w:val="center"/>
        </w:trPr>
        <w:tc>
          <w:tcPr>
            <w:tcW w:w="4317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Сила</w:t>
            </w:r>
          </w:p>
        </w:tc>
        <w:tc>
          <w:tcPr>
            <w:tcW w:w="488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(6,8)</w:t>
            </w:r>
          </w:p>
        </w:tc>
      </w:tr>
      <w:tr w:rsidR="00A95DDC" w:rsidRPr="00A95DDC" w:rsidTr="002B5198">
        <w:trPr>
          <w:trHeight w:val="364"/>
          <w:jc w:val="center"/>
        </w:trPr>
        <w:tc>
          <w:tcPr>
            <w:tcW w:w="4317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Быстрота</w:t>
            </w:r>
          </w:p>
        </w:tc>
        <w:tc>
          <w:tcPr>
            <w:tcW w:w="488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(6,9)</w:t>
            </w:r>
          </w:p>
        </w:tc>
      </w:tr>
      <w:tr w:rsidR="00A95DDC" w:rsidRPr="00A95DDC" w:rsidTr="002B5198">
        <w:trPr>
          <w:trHeight w:val="364"/>
          <w:jc w:val="center"/>
        </w:trPr>
        <w:tc>
          <w:tcPr>
            <w:tcW w:w="4317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Выносливость</w:t>
            </w:r>
          </w:p>
        </w:tc>
        <w:tc>
          <w:tcPr>
            <w:tcW w:w="488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(6,3)</w:t>
            </w:r>
          </w:p>
        </w:tc>
      </w:tr>
      <w:tr w:rsidR="00A95DDC" w:rsidRPr="00A95DDC" w:rsidTr="002B5198">
        <w:trPr>
          <w:trHeight w:val="364"/>
          <w:jc w:val="center"/>
        </w:trPr>
        <w:tc>
          <w:tcPr>
            <w:tcW w:w="4317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Ловкость</w:t>
            </w:r>
          </w:p>
        </w:tc>
        <w:tc>
          <w:tcPr>
            <w:tcW w:w="488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(6,1)</w:t>
            </w:r>
          </w:p>
        </w:tc>
      </w:tr>
      <w:tr w:rsidR="00A95DDC" w:rsidRPr="00A95DDC" w:rsidTr="002B5198">
        <w:trPr>
          <w:trHeight w:val="364"/>
          <w:jc w:val="center"/>
        </w:trPr>
        <w:tc>
          <w:tcPr>
            <w:tcW w:w="4317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Гибкость</w:t>
            </w:r>
          </w:p>
        </w:tc>
        <w:tc>
          <w:tcPr>
            <w:tcW w:w="488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(3,7)</w:t>
            </w:r>
          </w:p>
        </w:tc>
      </w:tr>
    </w:tbl>
    <w:p w:rsidR="00A95DDC" w:rsidRPr="00A95DDC" w:rsidRDefault="00A95DDC" w:rsidP="00A95DD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lastRenderedPageBreak/>
        <w:t xml:space="preserve">Рисунок </w:t>
      </w:r>
      <w:r w:rsidRPr="00A95DDC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FDFCEB" wp14:editId="50DCBC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57875" cy="337185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A95DDC">
        <w:rPr>
          <w:rFonts w:eastAsiaTheme="minorHAnsi"/>
          <w:sz w:val="28"/>
          <w:szCs w:val="28"/>
          <w:lang w:eastAsia="en-US"/>
        </w:rPr>
        <w:t>3 – Уровень развития общих физических качеств волейболисток средней квалификации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Как видно из таблицы, волейболистки оценили свой уровень развития силы и быстроты, как «очень высокий» – 6,8 и 6,9 баллов соответственно. Также выносливость (6,3) и ловкость (6,1) на «высоком» уровне развития, что говорит о хорошем уровне развития физических качеств. Чего нельзя сказать про гибкость. Результаты анкетирования показали, что уровень развития гибкости у волейболисток находится на грани «среднего» и «скорее низкого» уровня.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После проведенного тестирования, направленного на определение уровня развития общих физических качеств, нами было проведено 2 анкетирование, по результату которого мы определяли уровень развития специальных физических качеств. Анкета была аналогична предыдущей: оценка 11 специальных физических качеств по 7 бальной шкале. Данные представлены в таблице 3.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1118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Физическое качество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Уровень развития (средний балл)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Взрывная сила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5,7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Прыгучесть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6,6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Быстрота реакции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5,3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Быстрота двигательных действий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5,4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Быстрота перемещений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6,4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Прыжковая выносливость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5,8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Скоростная выносливость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5,6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Игровая выносливость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Акробатическая ловкость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5,9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Прыжковая ловкость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5,5</w:t>
            </w:r>
          </w:p>
        </w:tc>
      </w:tr>
      <w:tr w:rsidR="00A95DDC" w:rsidRPr="00A95DDC" w:rsidTr="002B5198">
        <w:tc>
          <w:tcPr>
            <w:tcW w:w="4644" w:type="dxa"/>
            <w:vAlign w:val="center"/>
          </w:tcPr>
          <w:p w:rsidR="00A95DDC" w:rsidRPr="00A95DDC" w:rsidRDefault="00A95DDC" w:rsidP="00A95DDC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Специальная гибкость</w:t>
            </w:r>
          </w:p>
        </w:tc>
        <w:tc>
          <w:tcPr>
            <w:tcW w:w="467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3,1</w:t>
            </w:r>
          </w:p>
        </w:tc>
      </w:tr>
    </w:tbl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Таблица 3 – Уровень развития специальных физических качеств волейболисток средней квалификации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По данным таблицы уровень развития специальных физических качеств выглядит следующим образом:</w:t>
      </w:r>
    </w:p>
    <w:p w:rsidR="00A95DDC" w:rsidRPr="00A95DDC" w:rsidRDefault="00A95DDC" w:rsidP="00A95DDC">
      <w:pPr>
        <w:numPr>
          <w:ilvl w:val="0"/>
          <w:numId w:val="1"/>
        </w:num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Взрывная сила – «высокий» уровень развития (5,7 б.);</w:t>
      </w:r>
    </w:p>
    <w:p w:rsidR="00A95DDC" w:rsidRPr="00A95DDC" w:rsidRDefault="00A95DDC" w:rsidP="00A95DDC">
      <w:pPr>
        <w:numPr>
          <w:ilvl w:val="0"/>
          <w:numId w:val="1"/>
        </w:num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Прыгучесть – «очень высокий» (6,6 б.);</w:t>
      </w:r>
    </w:p>
    <w:p w:rsidR="00A95DDC" w:rsidRPr="00A95DDC" w:rsidRDefault="00A95DDC" w:rsidP="00A95DDC">
      <w:pPr>
        <w:numPr>
          <w:ilvl w:val="0"/>
          <w:numId w:val="1"/>
        </w:num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Уровень развития быстроты реакции (5,3 б.) и быстроты двигательных действий (5,4 б.) у волейболисток на «скорее высоком», быстрота перемещений – на «высоком» (6,4 б.).</w:t>
      </w:r>
    </w:p>
    <w:p w:rsidR="00A95DDC" w:rsidRPr="00A95DDC" w:rsidRDefault="00A95DDC" w:rsidP="00A95DDC">
      <w:pPr>
        <w:numPr>
          <w:ilvl w:val="0"/>
          <w:numId w:val="1"/>
        </w:num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Прыжковая (5,8), скоростная (5,6 б.) и игровая выносливость (6,0 б.) на «высоком» уровне развития.</w:t>
      </w:r>
    </w:p>
    <w:p w:rsidR="00A95DDC" w:rsidRPr="00A95DDC" w:rsidRDefault="00A95DDC" w:rsidP="00A95DDC">
      <w:pPr>
        <w:numPr>
          <w:ilvl w:val="0"/>
          <w:numId w:val="1"/>
        </w:num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Уровень акробатической и прыжковой ловкости – «высокий» (5,9 б. и 5,5 б. соответственно). </w:t>
      </w:r>
    </w:p>
    <w:p w:rsidR="00A95DDC" w:rsidRPr="00A95DDC" w:rsidRDefault="00A95DDC" w:rsidP="00A95DDC">
      <w:pPr>
        <w:numPr>
          <w:ilvl w:val="0"/>
          <w:numId w:val="1"/>
        </w:num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Специальная гибкость – «скорее низкий» (3,1 б.).</w:t>
      </w:r>
    </w:p>
    <w:p w:rsidR="00A95DDC" w:rsidRPr="00A95DDC" w:rsidRDefault="00A95DDC" w:rsidP="00A95DDC">
      <w:pPr>
        <w:spacing w:line="360" w:lineRule="auto"/>
        <w:ind w:firstLine="709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pageBreakBefore/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noProof/>
          <w:color w:val="002060"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60288" behindDoc="0" locked="0" layoutInCell="1" allowOverlap="1" wp14:anchorId="3F33BC7D" wp14:editId="3ED2ECCA">
            <wp:simplePos x="0" y="0"/>
            <wp:positionH relativeFrom="margin">
              <wp:posOffset>-3810</wp:posOffset>
            </wp:positionH>
            <wp:positionV relativeFrom="margin">
              <wp:posOffset>-5715</wp:posOffset>
            </wp:positionV>
            <wp:extent cx="5943600" cy="3438525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A95DDC">
        <w:rPr>
          <w:rFonts w:eastAsiaTheme="minorHAnsi"/>
          <w:i/>
          <w:sz w:val="28"/>
          <w:szCs w:val="28"/>
          <w:u w:val="single"/>
          <w:lang w:eastAsia="en-US"/>
        </w:rPr>
        <w:t>Примечание:</w:t>
      </w:r>
      <w:r w:rsidRPr="00A95DDC">
        <w:rPr>
          <w:rFonts w:eastAsiaTheme="minorHAnsi"/>
          <w:i/>
          <w:sz w:val="28"/>
          <w:szCs w:val="28"/>
          <w:lang w:eastAsia="en-US"/>
        </w:rPr>
        <w:t xml:space="preserve"> 1 – взрывная сила; 2 – прыгучесть; 3 – быстрота реакции; 4 – быстрота двигательных действий; 5 – быстрота перемещений; 6 – прыжковая выносливость; 7 – скоростная выносливость; 8 – игровая выносливость; 9 – акробатическая ловкость; 10 – прыжковая ловкость; 11 – специальная гибкость.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Рисунок 4 – Уровень развития специальных физических качеств волейболисток средней квалификации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Таким образом, при оценке уровня развития общих и специальных физических качеств был выявлен низкий уровень развития гибкости и специальной гибкости у волейболисток средней и высокой спортивной квалификации, влияющий на выполнение всех технико-тактических действий. Это свидетельствует о том, что в тренировочном процессе необходимо уделять больше внимания на воспитание специальной гибкости.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keepNext/>
        <w:numPr>
          <w:ilvl w:val="12"/>
          <w:numId w:val="0"/>
        </w:numPr>
        <w:spacing w:line="360" w:lineRule="auto"/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_Toc9439065"/>
      <w:r w:rsidRPr="00A95DDC">
        <w:rPr>
          <w:b/>
          <w:bCs/>
          <w:sz w:val="28"/>
          <w:szCs w:val="28"/>
        </w:rPr>
        <w:lastRenderedPageBreak/>
        <w:t>III.2 Процентное соотношение технических приемов и технико-тактических действий атаки, требующих движения с максимальной амплитудой</w:t>
      </w:r>
      <w:bookmarkEnd w:id="0"/>
      <w:r w:rsidRPr="00A95DDC">
        <w:rPr>
          <w:b/>
          <w:bCs/>
          <w:sz w:val="28"/>
          <w:szCs w:val="28"/>
        </w:rPr>
        <w:t xml:space="preserve">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В волейболе существуют различные способы ведения игры: подача – технический прием, с помощью, которого мяч вводят в игру (точные, скоростные и планирующие); передачи – прием мяча (ведущий элемент защитных действий команды)  и передача мяча (технический элемент нападения, связывающий действия защиты непосредственно с атакой: медленные, ускоренные, скоростные; высокие, средние, низкие; передачи с отвлекающими действиями); нападающий удар – основное средство атаки, позволяющее выиграть очко (точные, скоростные и специфические для борьбы с блоком соперника); блок – технический прием защиты, обеспечивающий первый эшелон защиты: подвижный (зонное и ловящее блокирование) и неподвижный.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Для определения процентного соотношения технических элементов, приносящих больше всего очков команде нами был выполнен просмотр и анализ игр женской сборной команды РГУФКСМиТ, выступающих в московских студенческих спортивных играх (Приложение 2). </w:t>
      </w:r>
      <w:r w:rsidRPr="00A95DDC">
        <w:rPr>
          <w:rFonts w:eastAsia="Arial"/>
          <w:sz w:val="28"/>
          <w:szCs w:val="28"/>
          <w:lang w:eastAsia="en-US"/>
        </w:rPr>
        <w:t>Данные представлены в таблице 4.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Таблица 4 – Процентное соотношение технических приемов, приносящих очки команде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808"/>
        <w:gridCol w:w="1404"/>
        <w:gridCol w:w="1292"/>
        <w:gridCol w:w="1498"/>
        <w:gridCol w:w="1374"/>
      </w:tblGrid>
      <w:tr w:rsidR="00A95DDC" w:rsidRPr="00A95DDC" w:rsidTr="002B5198"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>Нападающий удар</w:t>
            </w: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>Подача</w:t>
            </w: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 xml:space="preserve">Блок </w:t>
            </w: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 xml:space="preserve">Передача </w:t>
            </w:r>
          </w:p>
        </w:tc>
        <w:tc>
          <w:tcPr>
            <w:tcW w:w="1596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 xml:space="preserve">Прием </w:t>
            </w:r>
          </w:p>
        </w:tc>
      </w:tr>
      <w:tr w:rsidR="00A95DDC" w:rsidRPr="00A95DDC" w:rsidTr="002B5198"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>ЖВК университетов</w:t>
            </w: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>68%</w:t>
            </w: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>7%</w:t>
            </w:r>
          </w:p>
        </w:tc>
        <w:tc>
          <w:tcPr>
            <w:tcW w:w="159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 xml:space="preserve"> – </w:t>
            </w:r>
          </w:p>
        </w:tc>
        <w:tc>
          <w:tcPr>
            <w:tcW w:w="1596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="Arial"/>
                <w:sz w:val="28"/>
                <w:szCs w:val="28"/>
                <w:lang w:eastAsia="en-US"/>
              </w:rPr>
            </w:pPr>
            <w:r w:rsidRPr="00A95DDC">
              <w:rPr>
                <w:rFonts w:eastAsia="Arial"/>
                <w:sz w:val="28"/>
                <w:szCs w:val="28"/>
                <w:lang w:eastAsia="en-US"/>
              </w:rPr>
              <w:t>–</w:t>
            </w:r>
          </w:p>
        </w:tc>
      </w:tr>
    </w:tbl>
    <w:p w:rsidR="00A95DDC" w:rsidRPr="00A95DDC" w:rsidRDefault="00A95DDC" w:rsidP="00A95DD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CD2D202" wp14:editId="7ECF5B48">
            <wp:simplePos x="0" y="0"/>
            <wp:positionH relativeFrom="column">
              <wp:posOffset>110490</wp:posOffset>
            </wp:positionH>
            <wp:positionV relativeFrom="paragraph">
              <wp:posOffset>-492125</wp:posOffset>
            </wp:positionV>
            <wp:extent cx="5667375" cy="3743325"/>
            <wp:effectExtent l="19050" t="0" r="9525" b="0"/>
            <wp:wrapTight wrapText="bothSides">
              <wp:wrapPolygon edited="0">
                <wp:start x="-73" y="0"/>
                <wp:lineTo x="-73" y="21545"/>
                <wp:lineTo x="21636" y="21545"/>
                <wp:lineTo x="21636" y="0"/>
                <wp:lineTo x="-73" y="0"/>
              </wp:wrapPolygon>
            </wp:wrapTight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95DDC" w:rsidRPr="00A95DDC" w:rsidRDefault="00A95DDC" w:rsidP="00A95DDC">
      <w:pPr>
        <w:spacing w:line="360" w:lineRule="auto"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Рисунок 5 – Соотношение технических элементов, приносящих больше всего очков команде                                                                   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Согласно собранным данным, </w:t>
      </w:r>
      <w:r w:rsidRPr="00A95DDC">
        <w:rPr>
          <w:rFonts w:eastAsia="Arial"/>
          <w:sz w:val="28"/>
          <w:szCs w:val="28"/>
          <w:lang w:eastAsia="en-US"/>
        </w:rPr>
        <w:t xml:space="preserve">можно наглядно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перепады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увидеть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сдвиг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что во время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игрового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помощью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процесса из всех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влияние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технических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развитие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элементов в волейболе (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работе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подача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приём, передача,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спасибо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нападающий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суставах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удар,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блок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алее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) подача и нападающий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таблица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удар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такие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в процентном соотношении приносят больше всего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развитие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очков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коробчилки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команде (25% и 68% соответственно).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Для выявления процентного соотношения подач и нападающих ударов, требующих и не требующих движения с максимальной амплитудой был выполнен просмотр и анализ московских студенческих игр сезона 2017 – 2018 гг. Результаты исследования занесены в таблицу 5.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95DDC">
        <w:rPr>
          <w:rFonts w:eastAsiaTheme="minorHAnsi"/>
          <w:sz w:val="28"/>
          <w:szCs w:val="28"/>
          <w:lang w:eastAsia="en-US"/>
        </w:rPr>
        <w:t>Таблица 5 – Соотношение подачи и нападающего удара, требующих и не требующих движения с максимальной амплитудой</w:t>
      </w:r>
    </w:p>
    <w:tbl>
      <w:tblPr>
        <w:tblStyle w:val="a3"/>
        <w:tblpPr w:leftFromText="180" w:rightFromText="180" w:vertAnchor="text" w:horzAnchor="margin" w:tblpY="77"/>
        <w:tblW w:w="9356" w:type="dxa"/>
        <w:tblLook w:val="04A0" w:firstRow="1" w:lastRow="0" w:firstColumn="1" w:lastColumn="0" w:noHBand="0" w:noVBand="1"/>
      </w:tblPr>
      <w:tblGrid>
        <w:gridCol w:w="5920"/>
        <w:gridCol w:w="1718"/>
        <w:gridCol w:w="1718"/>
      </w:tblGrid>
      <w:tr w:rsidR="00A95DDC" w:rsidRPr="00A95DDC" w:rsidTr="002B5198">
        <w:trPr>
          <w:trHeight w:val="1068"/>
        </w:trPr>
        <w:tc>
          <w:tcPr>
            <w:tcW w:w="592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b/>
                <w:sz w:val="28"/>
                <w:szCs w:val="28"/>
                <w:lang w:eastAsia="en-US"/>
              </w:rPr>
              <w:t>Подача и нападающий удар</w:t>
            </w:r>
          </w:p>
        </w:tc>
        <w:tc>
          <w:tcPr>
            <w:tcW w:w="17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b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7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A95DDC" w:rsidRPr="00A95DDC" w:rsidTr="002B5198">
        <w:trPr>
          <w:trHeight w:val="320"/>
        </w:trPr>
        <w:tc>
          <w:tcPr>
            <w:tcW w:w="592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требующие движения с максимальной амплитудой</w:t>
            </w:r>
          </w:p>
        </w:tc>
        <w:tc>
          <w:tcPr>
            <w:tcW w:w="17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824</w:t>
            </w:r>
          </w:p>
        </w:tc>
        <w:tc>
          <w:tcPr>
            <w:tcW w:w="17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</w:tr>
      <w:tr w:rsidR="00A95DDC" w:rsidRPr="00A95DDC" w:rsidTr="002B5198">
        <w:trPr>
          <w:trHeight w:val="320"/>
        </w:trPr>
        <w:tc>
          <w:tcPr>
            <w:tcW w:w="592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не требующие движения с максимальной амплитудой</w:t>
            </w:r>
          </w:p>
        </w:tc>
        <w:tc>
          <w:tcPr>
            <w:tcW w:w="17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7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</w:tr>
    </w:tbl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noProof/>
          <w:sz w:val="28"/>
          <w:szCs w:val="28"/>
        </w:rPr>
        <w:drawing>
          <wp:inline distT="0" distB="0" distL="0" distR="0" wp14:anchorId="73EDE113" wp14:editId="07E082E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5DDC" w:rsidRPr="00A95DDC" w:rsidRDefault="00A95DDC" w:rsidP="00A95DD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Рисунок 6 – Соотношение подачи и нападающего удара, требующих и не требующих движения с максимальной амплитудой</w:t>
      </w:r>
    </w:p>
    <w:p w:rsidR="00A95DDC" w:rsidRPr="00A95DDC" w:rsidRDefault="00A95DDC" w:rsidP="00A95DDC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Из таблицы мы видим, что в среднем выполняется 947 технико-тактических действий (подачи и нападающие удары), из них требующие движения с максимальной амплитудой 87 %, не требующие – 13% (подача на точность и планирующая, обманные удары). Как видно из графика, при выполнении подачи и нападающего удара практически все технико-тактические действия требуют движения с максимальной амплитудой.</w:t>
      </w:r>
    </w:p>
    <w:p w:rsidR="00A95DDC" w:rsidRPr="00A95DDC" w:rsidRDefault="00A95DDC" w:rsidP="00A95DDC">
      <w:pPr>
        <w:spacing w:line="360" w:lineRule="auto"/>
        <w:ind w:firstLine="709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lastRenderedPageBreak/>
        <w:t>Опираясь на полученные данные, нами была проанализирована</w: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95DDC">
        <w:rPr>
          <w:rFonts w:eastAsia="Arial"/>
          <w:sz w:val="28"/>
          <w:szCs w:val="28"/>
          <w:lang w:eastAsia="en-US"/>
        </w:rPr>
        <w:t xml:space="preserve"> литература по анатомии и биомеханике и определены наиболее значимые суставы и группы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изиологические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мышц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котором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которые участвуют при выполнении подачи и атакующего удара – плечевой сустав, мышцы плечевого пояса и мышцы плеча.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Исходя из этого, нами были подобраны специальные упражнения и разработана методика воспитания специальной гибкости плечевого пояса (плечевого сустава, мышц плечевого пояса и плеча) у волейболисток средней квалификации с целью повышения уровня развития гибкости.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keepNext/>
        <w:numPr>
          <w:ilvl w:val="12"/>
          <w:numId w:val="0"/>
        </w:numPr>
        <w:spacing w:line="360" w:lineRule="auto"/>
        <w:ind w:firstLine="709"/>
        <w:jc w:val="both"/>
        <w:outlineLvl w:val="2"/>
        <w:rPr>
          <w:b/>
          <w:bCs/>
          <w:sz w:val="28"/>
        </w:rPr>
      </w:pPr>
      <w:bookmarkStart w:id="1" w:name="_Toc9439066"/>
      <w:r w:rsidRPr="00A95DDC">
        <w:rPr>
          <w:b/>
          <w:bCs/>
          <w:sz w:val="28"/>
          <w:lang w:val="en-US"/>
        </w:rPr>
        <w:t>III</w:t>
      </w:r>
      <w:r w:rsidRPr="00A95DDC">
        <w:rPr>
          <w:b/>
          <w:bCs/>
          <w:sz w:val="28"/>
        </w:rPr>
        <w:t>.3 Апробирование разработанной методики воспитания специальной гибкости у волейболисток средней квалификации</w:t>
      </w:r>
      <w:bookmarkEnd w:id="1"/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Опираясь на полученные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зациорский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данные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нами был проведен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поддерживать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педагогический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любым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эксперимент, в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котором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лучевой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участвовало две группы (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процессе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контрольная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чего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и экспериментальная) по 8 человек (студентки 1 – 4 курсов).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Вначале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упражнений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педагогического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часть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эксперимента, было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проведено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темпы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тестирование для определения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ниже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уровня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ладони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развития гибкости у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причиной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контрольной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и экспериментальной групп (тесты описаны в главе </w:t>
      </w:r>
      <w:r w:rsidRPr="00A95DDC">
        <w:rPr>
          <w:rFonts w:eastAsia="Arial"/>
          <w:sz w:val="28"/>
          <w:szCs w:val="28"/>
          <w:lang w:val="en-US" w:eastAsia="en-US"/>
        </w:rPr>
        <w:t>II</w:t>
      </w:r>
      <w:r w:rsidRPr="00A95DDC">
        <w:rPr>
          <w:rFonts w:eastAsia="Arial"/>
          <w:sz w:val="28"/>
          <w:szCs w:val="28"/>
          <w:lang w:eastAsia="en-US"/>
        </w:rPr>
        <w:t xml:space="preserve">.3).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Надежность, объективность и информативность выбранных нами тестов не подвергается дополнительному исследованию, поскольку применяется на практике уже достаточно большое количество времени, и на которые ссылаются многие авторитеты. Данные тесты широко описаны в специальной литературе и рекомендованы для оценки развития физической подготовленности волейболистов. Средние значения представлены ниже.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lastRenderedPageBreak/>
        <w:t>Таблица 6 – Результаты тестирования уровня развития специальной гибкости до педагогического эксперимента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049"/>
        <w:gridCol w:w="3059"/>
      </w:tblGrid>
      <w:tr w:rsidR="00A95DDC" w:rsidRPr="00A95DDC" w:rsidTr="002B5198">
        <w:tc>
          <w:tcPr>
            <w:tcW w:w="3369" w:type="dxa"/>
            <w:vMerge w:val="restart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 xml:space="preserve">Тест </w:t>
            </w:r>
          </w:p>
        </w:tc>
        <w:tc>
          <w:tcPr>
            <w:tcW w:w="6202" w:type="dxa"/>
            <w:gridSpan w:val="2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</w:tr>
      <w:tr w:rsidR="00A95DDC" w:rsidRPr="00A95DDC" w:rsidTr="002B5198">
        <w:tc>
          <w:tcPr>
            <w:tcW w:w="3369" w:type="dxa"/>
            <w:vMerge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Контрольная </w:t>
            </w:r>
          </w:p>
        </w:tc>
        <w:tc>
          <w:tcPr>
            <w:tcW w:w="308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Экспериментальная</w:t>
            </w:r>
          </w:p>
        </w:tc>
      </w:tr>
      <w:tr w:rsidR="00A95DDC" w:rsidRPr="00A95DDC" w:rsidTr="002B5198">
        <w:tc>
          <w:tcPr>
            <w:tcW w:w="3369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№1 (см)</w:t>
            </w:r>
          </w:p>
        </w:tc>
        <w:tc>
          <w:tcPr>
            <w:tcW w:w="3118" w:type="dxa"/>
            <w:vAlign w:val="center"/>
          </w:tcPr>
          <w:p w:rsidR="00A95DDC" w:rsidRPr="00A95DDC" w:rsidRDefault="00A95DDC" w:rsidP="00A95DDC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68,2</w:t>
            </w:r>
          </w:p>
        </w:tc>
        <w:tc>
          <w:tcPr>
            <w:tcW w:w="308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69,1</w:t>
            </w:r>
          </w:p>
        </w:tc>
      </w:tr>
      <w:tr w:rsidR="00A95DDC" w:rsidRPr="00A95DDC" w:rsidTr="002B5198">
        <w:tc>
          <w:tcPr>
            <w:tcW w:w="3369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№2 (см)</w:t>
            </w:r>
          </w:p>
        </w:tc>
        <w:tc>
          <w:tcPr>
            <w:tcW w:w="3118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308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29,4</w:t>
            </w:r>
          </w:p>
        </w:tc>
      </w:tr>
    </w:tbl>
    <w:p w:rsidR="00A95DDC" w:rsidRPr="00A95DDC" w:rsidRDefault="00A95DDC" w:rsidP="00A95DDC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noProof/>
          <w:sz w:val="28"/>
          <w:szCs w:val="28"/>
        </w:rPr>
        <w:drawing>
          <wp:inline distT="0" distB="0" distL="0" distR="0" wp14:anchorId="4B0B7CAA" wp14:editId="12BA52F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Рисунок 7 – Результаты тестирования уровня развития специальной гибкости до педагогического эксперимента</w:t>
      </w:r>
    </w:p>
    <w:p w:rsidR="00A95DDC" w:rsidRPr="00A95DDC" w:rsidRDefault="00A95DDC" w:rsidP="00A95DDC">
      <w:pPr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Как видно из таблицы 6, в контрольной и экспериментальной группах уровень развития гибкости по двум тестам существенно не различается.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После проведенного тестирования был начат педагогический эксперимент, заключающийся во внедрении разработанной методики по воспитанию гибкости у волейболисток средней спортивной квалификации. 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 xml:space="preserve">Всего было проведено 48 тренировочных занятий, которые проводились 3 раза в неделю. Отведенное время на воспитание специальной гибкости в одном учебно-тренировочном занятии составило 7 – 10 минут основной части учебно-тренировочного занятия. Упражнения, которые выполняли </w:t>
      </w:r>
      <w:r w:rsidRPr="00A95DDC">
        <w:rPr>
          <w:rFonts w:eastAsiaTheme="minorHAnsi"/>
          <w:sz w:val="28"/>
          <w:szCs w:val="28"/>
          <w:lang w:eastAsia="en-US"/>
        </w:rPr>
        <w:lastRenderedPageBreak/>
        <w:t>волейболистки экспериментальной группы на учебно-тренировочном занятии, представлены в приложении 3.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Сами упражнения были подобраны из ряда литератур по «стретчингу». Каждое упражнение на растяжку они выполняли 1 минуту в динамическом режиме (пружинистые движения), а затем сразу 1 минуту в статическом.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По окончании педагогического эксперимента проводилось повторное тестирование для определения уровня развития гибкости у волейболисток средней спортивной квалификации. Тесты были проведены в тех же условиях, без изменений. Данные представлены ниже.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Таблица 7 – Результаты тестирования уровня развития специальной гибкости после педагогического эксперимента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3118"/>
        <w:gridCol w:w="3161"/>
      </w:tblGrid>
      <w:tr w:rsidR="00A95DDC" w:rsidRPr="00A95DDC" w:rsidTr="002B5198">
        <w:tc>
          <w:tcPr>
            <w:tcW w:w="3190" w:type="dxa"/>
            <w:vMerge w:val="restart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 xml:space="preserve">Тест </w:t>
            </w:r>
          </w:p>
        </w:tc>
        <w:tc>
          <w:tcPr>
            <w:tcW w:w="6381" w:type="dxa"/>
            <w:gridSpan w:val="2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Группа</w:t>
            </w:r>
          </w:p>
        </w:tc>
      </w:tr>
      <w:tr w:rsidR="00A95DDC" w:rsidRPr="00A95DDC" w:rsidTr="002B5198">
        <w:tc>
          <w:tcPr>
            <w:tcW w:w="3190" w:type="dxa"/>
            <w:vMerge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Контрольная </w:t>
            </w:r>
          </w:p>
        </w:tc>
        <w:tc>
          <w:tcPr>
            <w:tcW w:w="319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Экспериментальная</w:t>
            </w:r>
          </w:p>
        </w:tc>
      </w:tr>
      <w:tr w:rsidR="00A95DDC" w:rsidRPr="00A95DDC" w:rsidTr="002B5198">
        <w:tc>
          <w:tcPr>
            <w:tcW w:w="319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№1 (см)</w:t>
            </w:r>
          </w:p>
        </w:tc>
        <w:tc>
          <w:tcPr>
            <w:tcW w:w="319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64,7</w:t>
            </w:r>
          </w:p>
        </w:tc>
        <w:tc>
          <w:tcPr>
            <w:tcW w:w="319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59,2</w:t>
            </w:r>
          </w:p>
        </w:tc>
      </w:tr>
      <w:tr w:rsidR="00A95DDC" w:rsidRPr="00A95DDC" w:rsidTr="002B5198">
        <w:tc>
          <w:tcPr>
            <w:tcW w:w="319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№2 (см)</w:t>
            </w:r>
          </w:p>
        </w:tc>
        <w:tc>
          <w:tcPr>
            <w:tcW w:w="3190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3191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34,8</w:t>
            </w:r>
          </w:p>
        </w:tc>
      </w:tr>
    </w:tbl>
    <w:p w:rsidR="00A95DDC" w:rsidRPr="00A95DDC" w:rsidRDefault="00A95DDC" w:rsidP="00A95DDC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noProof/>
          <w:sz w:val="28"/>
          <w:szCs w:val="28"/>
        </w:rPr>
        <w:drawing>
          <wp:inline distT="0" distB="0" distL="0" distR="0" wp14:anchorId="110C781D" wp14:editId="2668A97C">
            <wp:extent cx="5486400" cy="302895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Рисунок 8 – Результаты тестирования уровня развития специальной гибкости после педагогического эксперимента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lastRenderedPageBreak/>
        <w:t xml:space="preserve">Данные, полученные по итогам повторного тестирования, показали улучшение результатов контрольной и экспериментальной группы. </w:t>
      </w:r>
      <w:r w:rsidRPr="00A95DDC">
        <w:rPr>
          <w:rFonts w:eastAsiaTheme="minorHAnsi"/>
          <w:color w:val="000000"/>
          <w:sz w:val="28"/>
          <w:szCs w:val="28"/>
          <w:lang w:eastAsia="en-US"/>
        </w:rPr>
        <w:t>Из данной таблицы видно, что экспериментальная группа, после выполнения в тренировочном процессе разработанного нами комплекса упражнений, в значительной мере улучшила свои результаты по сравнению с контрольной группой, которая тренировалась в обычном режиме.</w:t>
      </w: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Для определения правомерности использования предложенной нами методики мы провели</w:t>
      </w:r>
      <w:r w:rsidRPr="00A95DDC">
        <w:rPr>
          <w:rFonts w:eastAsiaTheme="minorHAnsi"/>
          <w:color w:val="000000"/>
          <w:sz w:val="28"/>
          <w:szCs w:val="28"/>
          <w:lang w:eastAsia="en-US"/>
        </w:rPr>
        <w:t xml:space="preserve"> сравнительный анализ результатов тестирования контрольной и экспериментальной группы до и после эксперимента.</w:t>
      </w:r>
      <w:r w:rsidRPr="00A95DDC">
        <w:rPr>
          <w:rFonts w:eastAsiaTheme="minorHAnsi"/>
          <w:sz w:val="28"/>
          <w:szCs w:val="28"/>
          <w:lang w:eastAsia="en-US"/>
        </w:rPr>
        <w:t xml:space="preserve"> Данные представлены ниже (Таблица 8).</w:t>
      </w:r>
    </w:p>
    <w:p w:rsidR="00A95DDC" w:rsidRPr="00A95DDC" w:rsidRDefault="00A95DDC" w:rsidP="00A95DDC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sz w:val="28"/>
          <w:szCs w:val="28"/>
          <w:lang w:eastAsia="en-US"/>
        </w:rPr>
        <w:t>Таблица 8 – Сравнительный анализ результатов тестирования контрольной и экспериментальной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53"/>
        <w:gridCol w:w="1847"/>
        <w:gridCol w:w="1885"/>
        <w:gridCol w:w="1867"/>
      </w:tblGrid>
      <w:tr w:rsidR="00A95DDC" w:rsidRPr="00A95DDC" w:rsidTr="002B5198">
        <w:trPr>
          <w:trHeight w:val="699"/>
        </w:trPr>
        <w:tc>
          <w:tcPr>
            <w:tcW w:w="1914" w:type="dxa"/>
            <w:vMerge w:val="restart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Результаты теста</w:t>
            </w:r>
          </w:p>
        </w:tc>
        <w:tc>
          <w:tcPr>
            <w:tcW w:w="3828" w:type="dxa"/>
            <w:gridSpan w:val="2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Контрольная группа</w:t>
            </w:r>
          </w:p>
        </w:tc>
        <w:tc>
          <w:tcPr>
            <w:tcW w:w="3829" w:type="dxa"/>
            <w:gridSpan w:val="2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Экспериментальная группа</w:t>
            </w:r>
          </w:p>
        </w:tc>
      </w:tr>
      <w:tr w:rsidR="00A95DDC" w:rsidRPr="00A95DDC" w:rsidTr="002B5198">
        <w:trPr>
          <w:trHeight w:val="721"/>
        </w:trPr>
        <w:tc>
          <w:tcPr>
            <w:tcW w:w="1914" w:type="dxa"/>
            <w:vMerge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№1 (см)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№2 (см)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№1 (см)</w:t>
            </w:r>
          </w:p>
        </w:tc>
        <w:tc>
          <w:tcPr>
            <w:tcW w:w="191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№2 (см)</w:t>
            </w:r>
          </w:p>
        </w:tc>
      </w:tr>
      <w:tr w:rsidR="00A95DDC" w:rsidRPr="00A95DDC" w:rsidTr="002B5198">
        <w:trPr>
          <w:trHeight w:val="678"/>
        </w:trPr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68,2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69,1</w:t>
            </w:r>
          </w:p>
        </w:tc>
        <w:tc>
          <w:tcPr>
            <w:tcW w:w="191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29,4</w:t>
            </w:r>
          </w:p>
        </w:tc>
      </w:tr>
      <w:tr w:rsidR="00A95DDC" w:rsidRPr="00A95DDC" w:rsidTr="002B5198">
        <w:trPr>
          <w:trHeight w:val="699"/>
        </w:trPr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После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64,7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59,2</w:t>
            </w:r>
          </w:p>
        </w:tc>
        <w:tc>
          <w:tcPr>
            <w:tcW w:w="191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34,8</w:t>
            </w:r>
          </w:p>
        </w:tc>
      </w:tr>
      <w:tr w:rsidR="00A95DDC" w:rsidRPr="00A95DDC" w:rsidTr="002B5198">
        <w:trPr>
          <w:trHeight w:val="721"/>
        </w:trPr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Сдвиг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914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915" w:type="dxa"/>
            <w:vAlign w:val="center"/>
          </w:tcPr>
          <w:p w:rsidR="00A95DDC" w:rsidRPr="00A95DDC" w:rsidRDefault="00A95DDC" w:rsidP="00A95DDC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DDC">
              <w:rPr>
                <w:rFonts w:eastAsiaTheme="minorHAnsi"/>
                <w:sz w:val="28"/>
                <w:szCs w:val="28"/>
                <w:lang w:eastAsia="en-US"/>
              </w:rPr>
              <w:t>5,4</w:t>
            </w:r>
          </w:p>
        </w:tc>
      </w:tr>
    </w:tbl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rPr>
          <w:rFonts w:eastAsiaTheme="minorHAnsi"/>
          <w:i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DDC">
        <w:rPr>
          <w:rFonts w:eastAsia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83AAF53" wp14:editId="1E64BC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352800"/>
            <wp:effectExtent l="0" t="0" r="0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A95DDC">
        <w:rPr>
          <w:rFonts w:eastAsiaTheme="minorHAnsi"/>
          <w:sz w:val="28"/>
          <w:szCs w:val="28"/>
          <w:lang w:eastAsia="en-US"/>
        </w:rPr>
        <w:t>Рисунок 9 –  Сравнительный анализ результатов тестирования контрольной и экспериментальной группы</w:t>
      </w:r>
    </w:p>
    <w:p w:rsidR="00A95DDC" w:rsidRPr="00A95DDC" w:rsidRDefault="00A95DDC" w:rsidP="00A95DDC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5DDC">
        <w:rPr>
          <w:rFonts w:eastAsiaTheme="minorHAnsi"/>
          <w:color w:val="000000"/>
          <w:sz w:val="28"/>
          <w:szCs w:val="28"/>
          <w:lang w:eastAsia="en-US"/>
        </w:rPr>
        <w:t xml:space="preserve">Сравнив результаты тестирований, мы определили, что прирост уровня развития гибкости произошёл у двух групп. Сдвиг контрольной группы составил 3,5см в первом тесте и 1,6см во втором тесте. А у экспериментальной показатель улучшился на 9,9 см и 5,4 см соответственно. В первом тесте прирост показателей экспериментальной группы составил на 6,4 см больше, чем в контрольной группе. Во втором тесте большим сдвиг был так же в экспериментальной группе – 3,8 см. </w:t>
      </w:r>
    </w:p>
    <w:p w:rsidR="00A95DDC" w:rsidRDefault="00A95DDC" w:rsidP="00A95DDC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5DDC">
        <w:rPr>
          <w:rFonts w:eastAsiaTheme="minorHAnsi"/>
          <w:color w:val="000000"/>
          <w:sz w:val="28"/>
          <w:szCs w:val="28"/>
          <w:lang w:eastAsia="en-US"/>
        </w:rPr>
        <w:t>Это свидетельствует о том, что предложенная нами методика воспитания специальной гибкости эффективна и может применяться на практике в целях повышения уровня развития гибкости у волейболисток средней спортивной квалификации, что повысит эффективность технико-тактических действий в игровом процессе.</w:t>
      </w:r>
    </w:p>
    <w:p w:rsidR="00A95DDC" w:rsidRDefault="00A95DDC" w:rsidP="00A95DDC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95DDC" w:rsidRDefault="00A95DDC" w:rsidP="00A95DDC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95DDC" w:rsidRPr="00A95DDC" w:rsidRDefault="00A95DDC" w:rsidP="00A95DDC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2" w:name="_GoBack"/>
      <w:bookmarkEnd w:id="2"/>
    </w:p>
    <w:p w:rsidR="00A95DDC" w:rsidRPr="00A95DDC" w:rsidRDefault="00A95DDC" w:rsidP="00A95DDC">
      <w:pPr>
        <w:keepNext/>
        <w:numPr>
          <w:ilvl w:val="12"/>
          <w:numId w:val="0"/>
        </w:numPr>
        <w:spacing w:line="360" w:lineRule="auto"/>
        <w:ind w:firstLine="709"/>
        <w:jc w:val="center"/>
        <w:outlineLvl w:val="1"/>
        <w:rPr>
          <w:rFonts w:eastAsia="Arial"/>
          <w:b/>
          <w:sz w:val="28"/>
        </w:rPr>
      </w:pPr>
      <w:bookmarkStart w:id="3" w:name="_Toc9439069"/>
      <w:r w:rsidRPr="00A95DDC">
        <w:rPr>
          <w:rFonts w:eastAsia="Arial"/>
          <w:b/>
          <w:sz w:val="28"/>
        </w:rPr>
        <w:lastRenderedPageBreak/>
        <w:t>СПИСОК ИСПОЛЬЗОВАННОЙ ЛИТЕРАТУРЫ</w:t>
      </w:r>
      <w:bookmarkEnd w:id="3"/>
    </w:p>
    <w:p w:rsidR="00A95DDC" w:rsidRPr="00A95DDC" w:rsidRDefault="00A95DDC" w:rsidP="00A95DD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список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Анатомия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человека: Учебник /М.Ф.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заострить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Иваницкий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приступайте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Б.А.Никиткжа, А.А.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Гладышев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ышцы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, Ф.В. Судзиловский. - М.: Тера-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группа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Спорт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показатели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, 2003 - 624 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Аулик, И.В.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минуты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Определение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физической работоспособности в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вузов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клинике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рост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и спорте /И.В.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Аулик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которой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// Теория и практика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пояса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физической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обучении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культуры. - 1979. - № 10.-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уралгафк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С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. 192.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Беляев, А.В., Савин М.В.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физкультура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Волейбол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месяц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: Учебник для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вузов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пяти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ФК. – М., 2002, 368 с. 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Быков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мышц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B.C.- Развитие двигательных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этого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способностей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перерывов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учащихся: Учебное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годик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пособие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/B.C. Быков. - Челябинск: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мышцы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УралГАФК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гораздо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, 1998.-74с.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>Виленский М.Я., Зайцев А.И., Ильинич В.И. и др. – Физическая культура студента. М.: Гардарики, 2002. – 448с.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Волейбол: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измеритель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Учебная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растянуть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программа для детско-юношеских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наиболее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школ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олимпийского резерва. – М.,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сырцев </w:instrText>
      </w:r>
      <w:r w:rsidRPr="00A95DDC">
        <w:rPr>
          <w:rFonts w:eastAsia="Arial"/>
          <w:noProof/>
          <w:sz w:val="28"/>
          <w:szCs w:val="28"/>
          <w:lang w:eastAsia="en-US"/>
        </w:rPr>
        <w:instrText>2005,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далее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112 с. 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Вультров, Б. 3. -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Организатор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применяются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внеклассной и внешкольной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протяжении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воспитательной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диаграмма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работы: Пособие для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влияет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учителя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/Б.З. Вультров, М. М. Потошник. - М.: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метод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Просвещение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чтобы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, 1983.- 14 с, 46 с, 152 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Галеева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больше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М.Р. - Методические рекомендации по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проведенного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развитию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активный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гибкости спортсмена: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также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Учебное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пособие /М.Р. Галеева. -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стоит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Киев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также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, 1980. - 56 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Годик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одача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М.А. Спортивная метрология. – М.: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растяжимости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Физкультура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поддающиеся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и спорт, 1988. -192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силы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с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Головина, Л.Л. Физиологические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мышца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аспекты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учебная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тренировки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выносливости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подобраны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у детей младшего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отводящая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школьного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силы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возраста / Л.Л.Головина, Ю.А.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развитие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Копылов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Н.В. Полянская // Теория и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проводимые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практика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задачи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физической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культуры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среднее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.-1998. -№7. – С.13-15.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lastRenderedPageBreak/>
        <w:t xml:space="preserve">Губа, В.М.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группы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Морфобиомеханический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специальными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подход как основа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пассивные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возрастного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физического воспитания и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если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спорта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значительный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// Физическая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культура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пользу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: воспитание, образование,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количества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тренировка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связано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. -1999. -№3/4. –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активные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С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.21-26.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Гужаловский, А.А. Развитие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данной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двигательных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будем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качеств у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школьников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растяжимости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. – Мн.: Нар.асвета, 1978.-88 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увеличивать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Гужаловский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повторение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А.А Физическая подготовка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применение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школьников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. - Челябинск: Юж.-Урал. кн.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окончанию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изд-во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уровень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1980.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-152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единственный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Дубровский, В.И.,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только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Федорова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диаграмма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В.Н. Биомеханика: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Учеб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мышцы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. для сред.ивысш.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средство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учеб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позже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>. заведений. – 2- е изд. – М., 2004, 672 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eastAsia="Arial"/>
          <w:sz w:val="28"/>
          <w:szCs w:val="28"/>
          <w:lang w:eastAsia="en-US"/>
        </w:rPr>
        <w:t xml:space="preserve"> 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таблице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Ермолаев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Ю.А. Возрастная физиология: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окончание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Учебник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мальчиков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/Ю.А. Ермолаев. - М.,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Возрастная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этого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физиология, 1985.- 34 с.</w:t>
      </w:r>
    </w:p>
    <w:p w:rsidR="00A95DDC" w:rsidRPr="00A95DDC" w:rsidRDefault="00A95DDC" w:rsidP="00A95DDC">
      <w:pPr>
        <w:numPr>
          <w:ilvl w:val="0"/>
          <w:numId w:val="2"/>
        </w:numPr>
        <w:spacing w:after="160" w:line="360" w:lineRule="auto"/>
        <w:ind w:firstLine="709"/>
        <w:contextualSpacing/>
        <w:jc w:val="both"/>
        <w:rPr>
          <w:rFonts w:eastAsia="Arial"/>
          <w:sz w:val="28"/>
          <w:szCs w:val="28"/>
          <w:lang w:eastAsia="en-US"/>
        </w:rPr>
      </w:pP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годы </w:instrText>
      </w:r>
      <w:r w:rsidRPr="00A95DDC">
        <w:rPr>
          <w:rFonts w:eastAsia="Arial"/>
          <w:noProof/>
          <w:sz w:val="28"/>
          <w:szCs w:val="28"/>
          <w:lang w:eastAsia="en-US"/>
        </w:rPr>
        <w:instrText>Железняк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перепады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, Ю.Д. Юный волейболист: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пояса </w:instrText>
      </w:r>
      <w:r w:rsidRPr="00A95DDC">
        <w:rPr>
          <w:rFonts w:eastAsia="Arial"/>
          <w:noProof/>
          <w:sz w:val="28"/>
          <w:szCs w:val="28"/>
          <w:lang w:eastAsia="en-US"/>
        </w:rPr>
        <w:instrText>Учеб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. пособие для тренеров. – М., </w:t>
      </w:r>
      <w:r w:rsidRPr="00A95DDC">
        <w:rPr>
          <w:rFonts w:asciiTheme="minorHAnsi" w:eastAsiaTheme="minorHAnsi" w:hAnsiTheme="minorHAnsi" w:cstheme="minorBidi"/>
          <w:sz w:val="22"/>
          <w:szCs w:val="22"/>
          <w:highlight w:val="white"/>
          <w:lang w:eastAsia="en-US"/>
        </w:rPr>
        <w:fldChar w:fldCharType="begin"/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eq 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 xml:space="preserve"> подобраны </w:instrText>
      </w:r>
      <w:r w:rsidRPr="00A95DDC">
        <w:rPr>
          <w:rFonts w:eastAsia="Arial"/>
          <w:noProof/>
          <w:sz w:val="28"/>
          <w:szCs w:val="28"/>
          <w:lang w:eastAsia="en-US"/>
        </w:rPr>
        <w:instrText>1988,</w:instrText>
      </w:r>
      <w:r w:rsidRPr="00A95DDC">
        <w:rPr>
          <w:rFonts w:asciiTheme="minorHAnsi" w:eastAsiaTheme="minorHAnsi" w:hAnsiTheme="minorHAnsi" w:cstheme="minorBidi"/>
          <w:noProof/>
          <w:color w:val="FFFFFF"/>
          <w:spacing w:val="-20000"/>
          <w:sz w:val="2"/>
          <w:szCs w:val="28"/>
          <w:lang w:eastAsia="en-US"/>
        </w:rPr>
        <w:instrText> судзиловский</w:instrText>
      </w:r>
      <w:r w:rsidRPr="00A95DD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A95DDC">
        <w:rPr>
          <w:rFonts w:eastAsia="Arial"/>
          <w:sz w:val="28"/>
          <w:szCs w:val="28"/>
          <w:lang w:eastAsia="en-US"/>
        </w:rPr>
        <w:t xml:space="preserve"> 192 с. </w:t>
      </w:r>
    </w:p>
    <w:p w:rsidR="008F21B2" w:rsidRDefault="00A95DDC"/>
    <w:p w:rsidR="00A95DDC" w:rsidRDefault="00A95DDC"/>
    <w:p w:rsidR="00A95DDC" w:rsidRDefault="00A95DDC"/>
    <w:sectPr w:rsidR="00A9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08AA"/>
    <w:multiLevelType w:val="hybridMultilevel"/>
    <w:tmpl w:val="1890C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7D58CE"/>
    <w:multiLevelType w:val="hybridMultilevel"/>
    <w:tmpl w:val="1DC0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CB"/>
    <w:rsid w:val="00457271"/>
    <w:rsid w:val="00703952"/>
    <w:rsid w:val="0089770F"/>
    <w:rsid w:val="00A95DDC"/>
    <w:rsid w:val="00E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7228"/>
  <w15:chartTrackingRefBased/>
  <w15:docId w15:val="{56887532-E75D-4B70-9828-4E63D5B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70F"/>
    <w:pPr>
      <w:ind w:left="720"/>
      <w:contextualSpacing/>
    </w:pPr>
    <w:rPr>
      <w:sz w:val="28"/>
      <w:szCs w:val="22"/>
      <w:lang w:eastAsia="en-US"/>
    </w:rPr>
  </w:style>
  <w:style w:type="table" w:styleId="a3">
    <w:name w:val="Table Grid"/>
    <w:basedOn w:val="a1"/>
    <w:uiPriority w:val="59"/>
    <w:rsid w:val="00A9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346051255788136E-2"/>
          <c:y val="7.8069902279164272E-2"/>
          <c:w val="0.90414988370356164"/>
          <c:h val="0.739337752272492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Сила</c:v>
                </c:pt>
                <c:pt idx="1">
                  <c:v>Быстрота</c:v>
                </c:pt>
                <c:pt idx="2">
                  <c:v>Выносливость</c:v>
                </c:pt>
                <c:pt idx="3">
                  <c:v>Ловкость</c:v>
                </c:pt>
                <c:pt idx="4">
                  <c:v>Гибкость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6.8</c:v>
                </c:pt>
                <c:pt idx="1">
                  <c:v>6.9</c:v>
                </c:pt>
                <c:pt idx="2">
                  <c:v>6.3</c:v>
                </c:pt>
                <c:pt idx="3">
                  <c:v>6.1</c:v>
                </c:pt>
                <c:pt idx="4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1-41CF-97A0-7914F55A88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47970560"/>
        <c:axId val="48046464"/>
      </c:barChart>
      <c:catAx>
        <c:axId val="47970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Общие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ф</a:t>
                </a: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изические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качества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046464"/>
        <c:crosses val="autoZero"/>
        <c:auto val="1"/>
        <c:lblAlgn val="ctr"/>
        <c:lblOffset val="100"/>
        <c:noMultiLvlLbl val="0"/>
      </c:catAx>
      <c:valAx>
        <c:axId val="48046464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Средний балл</a:t>
                </a:r>
              </a:p>
            </c:rich>
          </c:tx>
          <c:layout>
            <c:manualLayout>
              <c:xMode val="edge"/>
              <c:yMode val="edge"/>
              <c:x val="2.16802168021681E-3"/>
              <c:y val="0.3532719427020775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97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44242546604765"/>
          <c:y val="9.0531095188664534E-2"/>
          <c:w val="0.89055758274118157"/>
          <c:h val="0.72848008957329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5.7</c:v>
                </c:pt>
                <c:pt idx="1">
                  <c:v>6.6</c:v>
                </c:pt>
                <c:pt idx="2">
                  <c:v>5.3</c:v>
                </c:pt>
                <c:pt idx="3">
                  <c:v>5.4</c:v>
                </c:pt>
                <c:pt idx="4">
                  <c:v>6.4</c:v>
                </c:pt>
                <c:pt idx="5">
                  <c:v>5.8</c:v>
                </c:pt>
                <c:pt idx="6">
                  <c:v>5.6</c:v>
                </c:pt>
                <c:pt idx="7">
                  <c:v>6</c:v>
                </c:pt>
                <c:pt idx="8">
                  <c:v>5.9</c:v>
                </c:pt>
                <c:pt idx="9">
                  <c:v>5.5</c:v>
                </c:pt>
                <c:pt idx="10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31-4F4E-8335-3628DB6643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47849856"/>
        <c:axId val="47851776"/>
      </c:barChart>
      <c:catAx>
        <c:axId val="47849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Специальные ф</a:t>
                </a: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изические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качества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851776"/>
        <c:crosses val="autoZero"/>
        <c:auto val="1"/>
        <c:lblAlgn val="ctr"/>
        <c:lblOffset val="100"/>
        <c:noMultiLvlLbl val="0"/>
      </c:catAx>
      <c:valAx>
        <c:axId val="47851776"/>
        <c:scaling>
          <c:orientation val="minMax"/>
          <c:max val="7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Средний балл</a:t>
                </a:r>
              </a:p>
            </c:rich>
          </c:tx>
          <c:layout>
            <c:manualLayout>
              <c:xMode val="edge"/>
              <c:yMode val="edge"/>
              <c:x val="2.1680216802168087E-3"/>
              <c:y val="0.353271942702077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1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84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Технические элементы, приносящие очки команде</a:t>
            </a:r>
          </a:p>
        </c:rich>
      </c:tx>
      <c:layout>
        <c:manualLayout>
          <c:xMode val="edge"/>
          <c:yMode val="edge"/>
          <c:x val="0.13983051574088617"/>
          <c:y val="3.5437430786268105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618211185140378E-2"/>
          <c:y val="0.23503875968992249"/>
          <c:w val="0.64350991516260103"/>
          <c:h val="0.716234772978958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71D-412F-9CD1-289E9F2566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71D-412F-9CD1-289E9F2566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71D-412F-9CD1-289E9F25660D}"/>
              </c:ext>
            </c:extLst>
          </c:dPt>
          <c:dLbls>
            <c:dLbl>
              <c:idx val="2"/>
              <c:layout>
                <c:manualLayout>
                  <c:x val="3.9319085114360705E-2"/>
                  <c:y val="0.145438881208551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1D-412F-9CD1-289E9F25660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Нападающий удар</c:v>
                </c:pt>
                <c:pt idx="1">
                  <c:v>Подача </c:v>
                </c:pt>
                <c:pt idx="2">
                  <c:v>Блок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0.25</c:v>
                </c:pt>
                <c:pt idx="2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71D-412F-9CD1-289E9F2566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Технические действия</c:v>
                </c:pt>
              </c:strCache>
            </c:strRef>
          </c:tx>
          <c:dPt>
            <c:idx val="0"/>
            <c:bubble3D val="0"/>
            <c:spPr>
              <a:solidFill>
                <a:srgbClr val="33CC3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194-4A8D-AA73-AA2210AFA517}"/>
              </c:ext>
            </c:extLst>
          </c:dPt>
          <c:dPt>
            <c:idx val="1"/>
            <c:bubble3D val="0"/>
            <c:spPr>
              <a:solidFill>
                <a:srgbClr val="FF0000">
                  <a:alpha val="85000"/>
                </a:srgb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194-4A8D-AA73-AA2210AFA5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Требующие max амплитуды </c:v>
                </c:pt>
                <c:pt idx="1">
                  <c:v>Не требующие max амплитуды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0.87000000000000088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94-4A8D-AA73-AA2210AFA5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Тест №1</c:v>
                </c:pt>
                <c:pt idx="1">
                  <c:v>Тест №2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68.2</c:v>
                </c:pt>
                <c:pt idx="1">
                  <c:v>29.5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4-4DD8-BE20-F55B6D7A030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Тест №1</c:v>
                </c:pt>
                <c:pt idx="1">
                  <c:v>Тест №2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69.099999999999994</c:v>
                </c:pt>
                <c:pt idx="1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04-4DD8-BE20-F55B6D7A03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583104"/>
        <c:axId val="124318080"/>
      </c:barChart>
      <c:catAx>
        <c:axId val="12358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4318080"/>
        <c:crosses val="autoZero"/>
        <c:auto val="1"/>
        <c:lblAlgn val="ctr"/>
        <c:lblOffset val="100"/>
        <c:noMultiLvlLbl val="0"/>
      </c:catAx>
      <c:valAx>
        <c:axId val="124318080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Результаты тестирования (см)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one"/>
        <c:crossAx val="1235831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Тест №1</c:v>
                </c:pt>
                <c:pt idx="1">
                  <c:v>Тест №2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64.7</c:v>
                </c:pt>
                <c:pt idx="1">
                  <c:v>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10-4145-9727-58BFCC4161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Тест №1</c:v>
                </c:pt>
                <c:pt idx="1">
                  <c:v>Тест №2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59.2</c:v>
                </c:pt>
                <c:pt idx="1">
                  <c:v>34.800000000000004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10-4145-9727-58BFCC4161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546624"/>
        <c:axId val="124355328"/>
      </c:barChart>
      <c:catAx>
        <c:axId val="123546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4355328"/>
        <c:crosses val="autoZero"/>
        <c:auto val="1"/>
        <c:lblAlgn val="ctr"/>
        <c:lblOffset val="100"/>
        <c:noMultiLvlLbl val="0"/>
      </c:catAx>
      <c:valAx>
        <c:axId val="12435532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Результаты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тестирования (см)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one"/>
        <c:crossAx val="12354662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6469660042494688"/>
          <c:w val="0.94907407407407618"/>
          <c:h val="0.72230096237970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Тест №1</c:v>
                </c:pt>
                <c:pt idx="1">
                  <c:v>Тест №2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3.5</c:v>
                </c:pt>
                <c:pt idx="1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E-469A-B898-9CE0C7A3DE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Тест №1</c:v>
                </c:pt>
                <c:pt idx="1">
                  <c:v>Тест №2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9.9</c:v>
                </c:pt>
                <c:pt idx="1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0E-469A-B898-9CE0C7A3DE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411904"/>
        <c:axId val="124413440"/>
      </c:barChart>
      <c:catAx>
        <c:axId val="124411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4413440"/>
        <c:crosses val="autoZero"/>
        <c:auto val="1"/>
        <c:lblAlgn val="ctr"/>
        <c:lblOffset val="100"/>
        <c:noMultiLvlLbl val="0"/>
      </c:catAx>
      <c:valAx>
        <c:axId val="124413440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Разница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результатов тестирования (см)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one"/>
        <c:crossAx val="1244119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2019-07-19T13:52:00Z</dcterms:created>
  <dcterms:modified xsi:type="dcterms:W3CDTF">2019-07-19T14:00:00Z</dcterms:modified>
</cp:coreProperties>
</file>